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page" w:tblpX="398" w:tblpY="-1155"/>
        <w:tblW w:w="23639" w:type="dxa"/>
        <w:tblLayout w:type="fixed"/>
        <w:tblLook w:val="04A0" w:firstRow="1" w:lastRow="0" w:firstColumn="1" w:lastColumn="0" w:noHBand="0" w:noVBand="1"/>
      </w:tblPr>
      <w:tblGrid>
        <w:gridCol w:w="2376"/>
        <w:gridCol w:w="4536"/>
        <w:gridCol w:w="4395"/>
        <w:gridCol w:w="2976"/>
        <w:gridCol w:w="4395"/>
        <w:gridCol w:w="4961"/>
      </w:tblGrid>
      <w:tr w:rsidR="00426587" w:rsidTr="00721DE3">
        <w:trPr>
          <w:trHeight w:val="699"/>
        </w:trPr>
        <w:tc>
          <w:tcPr>
            <w:tcW w:w="2376" w:type="dxa"/>
          </w:tcPr>
          <w:p w:rsidR="002D361A" w:rsidRDefault="002D361A" w:rsidP="00B45ACF">
            <w:pPr>
              <w:jc w:val="center"/>
              <w:rPr>
                <w:rFonts w:ascii="Arial" w:hAnsi="Arial" w:cs="Arial"/>
              </w:rPr>
            </w:pPr>
          </w:p>
          <w:p w:rsidR="00C924CE" w:rsidRDefault="002D361A" w:rsidP="00B45ACF">
            <w:pPr>
              <w:jc w:val="center"/>
              <w:rPr>
                <w:rFonts w:ascii="Arial" w:hAnsi="Arial" w:cs="Arial"/>
              </w:rPr>
            </w:pPr>
            <w:r>
              <w:rPr>
                <w:rFonts w:ascii="Arial" w:hAnsi="Arial" w:cs="Arial"/>
              </w:rPr>
              <w:t>T</w:t>
            </w:r>
            <w:r w:rsidR="00C924CE" w:rsidRPr="003B2FC1">
              <w:rPr>
                <w:rFonts w:ascii="Arial" w:hAnsi="Arial" w:cs="Arial"/>
              </w:rPr>
              <w:t>EMA</w:t>
            </w:r>
          </w:p>
          <w:p w:rsidR="002D361A" w:rsidRPr="003B2FC1" w:rsidRDefault="002D361A" w:rsidP="00B45ACF">
            <w:pPr>
              <w:jc w:val="center"/>
              <w:rPr>
                <w:rFonts w:ascii="Arial" w:hAnsi="Arial" w:cs="Arial"/>
              </w:rPr>
            </w:pPr>
          </w:p>
        </w:tc>
        <w:tc>
          <w:tcPr>
            <w:tcW w:w="4536" w:type="dxa"/>
          </w:tcPr>
          <w:p w:rsidR="002D361A" w:rsidRDefault="002D361A" w:rsidP="00B45ACF">
            <w:pPr>
              <w:jc w:val="center"/>
              <w:rPr>
                <w:rFonts w:ascii="Arial" w:hAnsi="Arial" w:cs="Arial"/>
              </w:rPr>
            </w:pPr>
          </w:p>
          <w:p w:rsidR="00C924CE" w:rsidRPr="003B2FC1" w:rsidRDefault="00C924CE" w:rsidP="00B45ACF">
            <w:pPr>
              <w:jc w:val="center"/>
              <w:rPr>
                <w:rFonts w:ascii="Arial" w:hAnsi="Arial" w:cs="Arial"/>
              </w:rPr>
            </w:pPr>
            <w:r w:rsidRPr="003B2FC1">
              <w:rPr>
                <w:rFonts w:ascii="Arial" w:hAnsi="Arial" w:cs="Arial"/>
              </w:rPr>
              <w:t>ANTECEDENTES</w:t>
            </w:r>
          </w:p>
        </w:tc>
        <w:tc>
          <w:tcPr>
            <w:tcW w:w="4395" w:type="dxa"/>
          </w:tcPr>
          <w:p w:rsidR="00721DE3" w:rsidRDefault="00721DE3" w:rsidP="00B45ACF">
            <w:pPr>
              <w:jc w:val="center"/>
              <w:rPr>
                <w:rFonts w:ascii="Arial" w:hAnsi="Arial" w:cs="Arial"/>
              </w:rPr>
            </w:pPr>
          </w:p>
          <w:p w:rsidR="00C924CE" w:rsidRPr="003B2FC1" w:rsidRDefault="00C924CE" w:rsidP="00B45ACF">
            <w:pPr>
              <w:jc w:val="center"/>
              <w:rPr>
                <w:rFonts w:ascii="Arial" w:hAnsi="Arial" w:cs="Arial"/>
              </w:rPr>
            </w:pPr>
            <w:bookmarkStart w:id="0" w:name="_GoBack"/>
            <w:bookmarkEnd w:id="0"/>
            <w:r w:rsidRPr="003B2FC1">
              <w:rPr>
                <w:rFonts w:ascii="Arial" w:hAnsi="Arial" w:cs="Arial"/>
              </w:rPr>
              <w:t>DEFINICION Y CONTEXTUALIZACION</w:t>
            </w:r>
          </w:p>
        </w:tc>
        <w:tc>
          <w:tcPr>
            <w:tcW w:w="2976" w:type="dxa"/>
          </w:tcPr>
          <w:p w:rsidR="00C924CE" w:rsidRPr="003B2FC1" w:rsidRDefault="00C924CE" w:rsidP="00B45ACF">
            <w:pPr>
              <w:jc w:val="center"/>
              <w:rPr>
                <w:rFonts w:ascii="Arial" w:hAnsi="Arial" w:cs="Arial"/>
              </w:rPr>
            </w:pPr>
            <w:r w:rsidRPr="003B2FC1">
              <w:rPr>
                <w:rFonts w:ascii="Arial" w:hAnsi="Arial" w:cs="Arial"/>
              </w:rPr>
              <w:t>PRINCIPALES EXPONENTES</w:t>
            </w:r>
          </w:p>
        </w:tc>
        <w:tc>
          <w:tcPr>
            <w:tcW w:w="4395" w:type="dxa"/>
          </w:tcPr>
          <w:p w:rsidR="002D361A" w:rsidRDefault="002D361A" w:rsidP="00B45ACF">
            <w:pPr>
              <w:jc w:val="center"/>
              <w:rPr>
                <w:rFonts w:ascii="Arial" w:hAnsi="Arial" w:cs="Arial"/>
              </w:rPr>
            </w:pPr>
          </w:p>
          <w:p w:rsidR="00C924CE" w:rsidRPr="003B2FC1" w:rsidRDefault="00C924CE" w:rsidP="00B45ACF">
            <w:pPr>
              <w:jc w:val="center"/>
              <w:rPr>
                <w:rFonts w:ascii="Arial" w:hAnsi="Arial" w:cs="Arial"/>
              </w:rPr>
            </w:pPr>
            <w:r w:rsidRPr="003B2FC1">
              <w:rPr>
                <w:rFonts w:ascii="Arial" w:hAnsi="Arial" w:cs="Arial"/>
              </w:rPr>
              <w:t>SUSTENTO TEORICO</w:t>
            </w:r>
          </w:p>
        </w:tc>
        <w:tc>
          <w:tcPr>
            <w:tcW w:w="4961" w:type="dxa"/>
          </w:tcPr>
          <w:p w:rsidR="002D361A" w:rsidRDefault="002D361A" w:rsidP="00B45ACF">
            <w:pPr>
              <w:jc w:val="center"/>
              <w:rPr>
                <w:rFonts w:ascii="Arial" w:hAnsi="Arial" w:cs="Arial"/>
              </w:rPr>
            </w:pPr>
          </w:p>
          <w:p w:rsidR="00C924CE" w:rsidRPr="003B2FC1" w:rsidRDefault="00C924CE" w:rsidP="002D361A">
            <w:pPr>
              <w:ind w:right="-250"/>
              <w:jc w:val="center"/>
              <w:rPr>
                <w:rFonts w:ascii="Arial" w:hAnsi="Arial" w:cs="Arial"/>
              </w:rPr>
            </w:pPr>
            <w:r w:rsidRPr="003B2FC1">
              <w:rPr>
                <w:rFonts w:ascii="Arial" w:hAnsi="Arial" w:cs="Arial"/>
              </w:rPr>
              <w:t>PROPUESTA PEDAGOGICA</w:t>
            </w:r>
          </w:p>
        </w:tc>
      </w:tr>
      <w:tr w:rsidR="00426587" w:rsidTr="00721DE3">
        <w:tc>
          <w:tcPr>
            <w:tcW w:w="2376" w:type="dxa"/>
          </w:tcPr>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924CE" w:rsidRPr="003B2FC1" w:rsidRDefault="00981E8C" w:rsidP="00426587">
            <w:pPr>
              <w:jc w:val="center"/>
              <w:rPr>
                <w:rFonts w:ascii="Arial" w:hAnsi="Arial" w:cs="Arial"/>
              </w:rPr>
            </w:pPr>
            <w:r w:rsidRPr="003B2FC1">
              <w:rPr>
                <w:rFonts w:ascii="Arial" w:hAnsi="Arial" w:cs="Arial"/>
              </w:rPr>
              <w:t>Homogeneidad</w:t>
            </w:r>
          </w:p>
        </w:tc>
        <w:tc>
          <w:tcPr>
            <w:tcW w:w="4536" w:type="dxa"/>
          </w:tcPr>
          <w:p w:rsidR="00C924CE" w:rsidRPr="003B2FC1" w:rsidRDefault="00981E8C" w:rsidP="00B45ACF">
            <w:pPr>
              <w:jc w:val="both"/>
              <w:rPr>
                <w:rFonts w:ascii="Arial" w:hAnsi="Arial" w:cs="Arial"/>
              </w:rPr>
            </w:pPr>
            <w:r w:rsidRPr="003B2FC1">
              <w:rPr>
                <w:rFonts w:ascii="Arial" w:hAnsi="Arial" w:cs="Arial"/>
              </w:rPr>
              <w:t>Es un cultismo recreado a partir de un primitivo vocablo griego, y por tanto una adquisición moderna (en historia o historias de las lenguas, llamamos Moderno” a lo que se genera a partir de la edad moderna o renacimiento.</w:t>
            </w:r>
          </w:p>
        </w:tc>
        <w:tc>
          <w:tcPr>
            <w:tcW w:w="4395" w:type="dxa"/>
          </w:tcPr>
          <w:p w:rsidR="00C924CE" w:rsidRPr="003B2FC1" w:rsidRDefault="00981E8C" w:rsidP="00B45ACF">
            <w:pPr>
              <w:jc w:val="both"/>
              <w:rPr>
                <w:rFonts w:ascii="Arial" w:hAnsi="Arial" w:cs="Arial"/>
              </w:rPr>
            </w:pPr>
            <w:r w:rsidRPr="003B2FC1">
              <w:rPr>
                <w:rFonts w:ascii="Arial" w:hAnsi="Arial" w:cs="Arial"/>
              </w:rPr>
              <w:t>En la que todos sus miembros son iguales: pertenecen al mismo grupo racial, hablan un solo idioma y comparten las mismas creencias y costumbres.</w:t>
            </w:r>
          </w:p>
        </w:tc>
        <w:tc>
          <w:tcPr>
            <w:tcW w:w="2976" w:type="dxa"/>
          </w:tcPr>
          <w:p w:rsidR="00C924CE" w:rsidRPr="003B2FC1" w:rsidRDefault="00981E8C" w:rsidP="00B45ACF">
            <w:pPr>
              <w:jc w:val="both"/>
              <w:rPr>
                <w:rFonts w:ascii="Arial" w:hAnsi="Arial" w:cs="Arial"/>
              </w:rPr>
            </w:pPr>
            <w:r w:rsidRPr="003B2FC1">
              <w:rPr>
                <w:rFonts w:ascii="Arial" w:hAnsi="Arial" w:cs="Arial"/>
              </w:rPr>
              <w:t>Por Erasmo de Rótterdam, Luís Vives y Antonio Grancì</w:t>
            </w:r>
          </w:p>
        </w:tc>
        <w:tc>
          <w:tcPr>
            <w:tcW w:w="4395" w:type="dxa"/>
          </w:tcPr>
          <w:p w:rsidR="00C924CE" w:rsidRPr="003B2FC1" w:rsidRDefault="00981E8C" w:rsidP="00B45ACF">
            <w:pPr>
              <w:jc w:val="both"/>
              <w:rPr>
                <w:rFonts w:ascii="Arial" w:hAnsi="Arial" w:cs="Arial"/>
              </w:rPr>
            </w:pPr>
            <w:r w:rsidRPr="003B2FC1">
              <w:rPr>
                <w:rFonts w:ascii="Arial" w:hAnsi="Arial" w:cs="Arial"/>
              </w:rPr>
              <w:t>La historia sociocultural introdujo un concepto muy interesante dentro del marco de las relaciones de poder y los procesos de cambios históricos. Antonio Grancì fue el creador de este concepto que pretendía explicar la nueva dominación que se establecía en las sociedades contemporáneas</w:t>
            </w:r>
          </w:p>
        </w:tc>
        <w:tc>
          <w:tcPr>
            <w:tcW w:w="4961" w:type="dxa"/>
          </w:tcPr>
          <w:p w:rsidR="00C924CE" w:rsidRPr="003B2FC1" w:rsidRDefault="00981E8C" w:rsidP="00246AE5">
            <w:pPr>
              <w:jc w:val="both"/>
              <w:rPr>
                <w:rFonts w:ascii="Arial" w:hAnsi="Arial" w:cs="Arial"/>
              </w:rPr>
            </w:pPr>
            <w:r w:rsidRPr="003B2FC1">
              <w:rPr>
                <w:rFonts w:ascii="Arial" w:hAnsi="Arial" w:cs="Arial"/>
              </w:rPr>
              <w:t>Convertir  un lugar propicio para aprendizajes vitales significativos, un espacio con apertura y tolerancia a las diferencias, con capacidad de diálogo entre sus propios actores y con otros, demanda</w:t>
            </w:r>
            <w:r w:rsidR="00246AE5">
              <w:rPr>
                <w:rFonts w:ascii="Arial" w:hAnsi="Arial" w:cs="Arial"/>
              </w:rPr>
              <w:t xml:space="preserve"> </w:t>
            </w:r>
            <w:r w:rsidRPr="003B2FC1">
              <w:rPr>
                <w:rFonts w:ascii="Arial" w:hAnsi="Arial" w:cs="Arial"/>
              </w:rPr>
              <w:t>intervenciones políticas, estratégicas, regulatorias y organizativas que den</w:t>
            </w:r>
            <w:r w:rsidR="00246AE5">
              <w:rPr>
                <w:rFonts w:ascii="Arial" w:hAnsi="Arial" w:cs="Arial"/>
              </w:rPr>
              <w:t xml:space="preserve"> </w:t>
            </w:r>
            <w:r w:rsidRPr="003B2FC1">
              <w:rPr>
                <w:rFonts w:ascii="Arial" w:hAnsi="Arial" w:cs="Arial"/>
              </w:rPr>
              <w:t>sustento a un proyecto institucional acorde con el desafío de una buena</w:t>
            </w:r>
            <w:r w:rsidR="00246AE5">
              <w:rPr>
                <w:rFonts w:ascii="Arial" w:hAnsi="Arial" w:cs="Arial"/>
              </w:rPr>
              <w:t xml:space="preserve"> </w:t>
            </w:r>
            <w:r w:rsidRPr="003B2FC1">
              <w:rPr>
                <w:rFonts w:ascii="Arial" w:hAnsi="Arial" w:cs="Arial"/>
              </w:rPr>
              <w:t>Educación  para todos.</w:t>
            </w:r>
          </w:p>
        </w:tc>
      </w:tr>
      <w:tr w:rsidR="00426587" w:rsidTr="00721DE3">
        <w:tc>
          <w:tcPr>
            <w:tcW w:w="2376" w:type="dxa"/>
          </w:tcPr>
          <w:p w:rsidR="00981E8C" w:rsidRPr="003B2FC1" w:rsidRDefault="00981E8C" w:rsidP="00B45ACF">
            <w:pPr>
              <w:jc w:val="both"/>
              <w:rPr>
                <w:rFonts w:ascii="Arial" w:hAnsi="Arial" w:cs="Arial"/>
              </w:rPr>
            </w:pPr>
          </w:p>
          <w:p w:rsidR="00981E8C" w:rsidRPr="003B2FC1" w:rsidRDefault="00981E8C" w:rsidP="00B45ACF">
            <w:pPr>
              <w:jc w:val="both"/>
              <w:rPr>
                <w:rFonts w:ascii="Arial" w:hAnsi="Arial" w:cs="Arial"/>
              </w:rPr>
            </w:pPr>
          </w:p>
          <w:p w:rsidR="00981E8C" w:rsidRPr="003B2FC1" w:rsidRDefault="00981E8C" w:rsidP="00B45ACF">
            <w:pPr>
              <w:jc w:val="both"/>
              <w:rPr>
                <w:rFonts w:ascii="Arial" w:hAnsi="Arial" w:cs="Arial"/>
              </w:rPr>
            </w:pPr>
          </w:p>
          <w:p w:rsidR="00981E8C" w:rsidRPr="003B2FC1" w:rsidRDefault="00981E8C" w:rsidP="00B45ACF">
            <w:pPr>
              <w:jc w:val="both"/>
              <w:rPr>
                <w:rFonts w:ascii="Arial" w:hAnsi="Arial" w:cs="Arial"/>
              </w:rPr>
            </w:pPr>
          </w:p>
          <w:p w:rsidR="00981E8C" w:rsidRPr="003B2FC1" w:rsidRDefault="00981E8C" w:rsidP="00B45ACF">
            <w:pPr>
              <w:jc w:val="both"/>
              <w:rPr>
                <w:rFonts w:ascii="Arial" w:hAnsi="Arial" w:cs="Arial"/>
              </w:rPr>
            </w:pPr>
          </w:p>
          <w:p w:rsidR="00981E8C" w:rsidRPr="003B2FC1" w:rsidRDefault="00981E8C" w:rsidP="00B45ACF">
            <w:pPr>
              <w:jc w:val="both"/>
              <w:rPr>
                <w:rFonts w:ascii="Arial" w:hAnsi="Arial" w:cs="Arial"/>
              </w:rPr>
            </w:pPr>
          </w:p>
          <w:p w:rsidR="00C924CE" w:rsidRPr="003B2FC1" w:rsidRDefault="00981E8C" w:rsidP="00426587">
            <w:pPr>
              <w:jc w:val="center"/>
              <w:rPr>
                <w:rFonts w:ascii="Arial" w:hAnsi="Arial" w:cs="Arial"/>
              </w:rPr>
            </w:pPr>
            <w:r w:rsidRPr="003B2FC1">
              <w:rPr>
                <w:rFonts w:ascii="Arial" w:hAnsi="Arial" w:cs="Arial"/>
              </w:rPr>
              <w:t>Sustentabilidad</w:t>
            </w:r>
          </w:p>
        </w:tc>
        <w:tc>
          <w:tcPr>
            <w:tcW w:w="4536" w:type="dxa"/>
          </w:tcPr>
          <w:p w:rsidR="00C924CE" w:rsidRPr="003B2FC1" w:rsidRDefault="00981E8C" w:rsidP="00B45ACF">
            <w:pPr>
              <w:jc w:val="both"/>
              <w:rPr>
                <w:rFonts w:ascii="Arial" w:hAnsi="Arial" w:cs="Arial"/>
              </w:rPr>
            </w:pPr>
            <w:r w:rsidRPr="003B2FC1">
              <w:rPr>
                <w:rFonts w:ascii="Arial" w:hAnsi="Arial" w:cs="Arial"/>
              </w:rPr>
              <w:t>Desde 1789 con el inició de la Revolución Industrial, fueron más de 150 años de indiferencia ecológica. La "violencia ecológica" que se desató desde 1789 fue enorme, y en poco o nada se intentó evitar o por lo menos controlarla. Fueron más de 150 años de depredación irracional e inmisericorde de la tierra en favor de un modelo de crecimiento sostenido pero no sustentable que iba poco a poco atentando contra la propia humanidad. En el período de 1970-1980 la sustentabilidad se asocia con la gestión de los recursos humanos, palpable en el Programa Intergubernamental de la Organización de las Naciones Unidas para la Educación, la Ciencia y la Cultura (UNESCO). en 1991 el Programa de las Naciones Unidas para el Medio Ambiente (PNUMA) define en su concepto la necesidad de mejorar la calidad de vida humana</w:t>
            </w:r>
          </w:p>
        </w:tc>
        <w:tc>
          <w:tcPr>
            <w:tcW w:w="4395" w:type="dxa"/>
          </w:tcPr>
          <w:p w:rsidR="00981E8C" w:rsidRPr="003B2FC1" w:rsidRDefault="00981E8C" w:rsidP="00B45ACF">
            <w:pPr>
              <w:jc w:val="both"/>
              <w:rPr>
                <w:rFonts w:ascii="Arial" w:hAnsi="Arial" w:cs="Arial"/>
              </w:rPr>
            </w:pPr>
            <w:r w:rsidRPr="003B2FC1">
              <w:rPr>
                <w:rFonts w:ascii="Arial" w:hAnsi="Arial" w:cs="Arial"/>
              </w:rPr>
              <w:t>Se refiere al equilibrio existente entre una especie con los recursos del entorno al cual pertenece. Básicamente, la sustentabilidad, lo que propone es satisfacer las necesidades de la actual generación pero sin que por esto se vean sacrificadas las capacidades futuras de las siguientes generaciones de satisfacer sus propias necesidades, es decir, algo así como la búsqueda del equilibrio justo entre estas dos cuestiones.</w:t>
            </w:r>
          </w:p>
          <w:p w:rsidR="00C924CE" w:rsidRPr="003B2FC1" w:rsidRDefault="00C924CE" w:rsidP="00B45ACF">
            <w:pPr>
              <w:jc w:val="both"/>
              <w:rPr>
                <w:rFonts w:ascii="Arial" w:hAnsi="Arial" w:cs="Arial"/>
              </w:rPr>
            </w:pPr>
          </w:p>
        </w:tc>
        <w:tc>
          <w:tcPr>
            <w:tcW w:w="2976" w:type="dxa"/>
          </w:tcPr>
          <w:p w:rsidR="00C924CE" w:rsidRPr="003B2FC1" w:rsidRDefault="00981E8C" w:rsidP="00B45ACF">
            <w:pPr>
              <w:jc w:val="both"/>
              <w:rPr>
                <w:rFonts w:ascii="Arial" w:hAnsi="Arial" w:cs="Arial"/>
              </w:rPr>
            </w:pPr>
            <w:r w:rsidRPr="003B2FC1">
              <w:rPr>
                <w:rFonts w:ascii="Arial" w:hAnsi="Arial" w:cs="Arial"/>
              </w:rPr>
              <w:t>José de Souza Silva, Milton Friedman, Angel Estrada, Aldo Leopoldo, Naina Pierri, Gro Harlem Brudtland</w:t>
            </w:r>
            <w:r w:rsidR="00426587">
              <w:rPr>
                <w:rFonts w:ascii="Arial" w:hAnsi="Arial" w:cs="Arial"/>
              </w:rPr>
              <w:t>.</w:t>
            </w:r>
          </w:p>
        </w:tc>
        <w:tc>
          <w:tcPr>
            <w:tcW w:w="4395" w:type="dxa"/>
          </w:tcPr>
          <w:p w:rsidR="00C924CE" w:rsidRPr="003B2FC1" w:rsidRDefault="00981E8C" w:rsidP="00246AE5">
            <w:pPr>
              <w:jc w:val="both"/>
              <w:rPr>
                <w:rFonts w:ascii="Arial" w:hAnsi="Arial" w:cs="Arial"/>
              </w:rPr>
            </w:pPr>
            <w:r w:rsidRPr="003B2FC1">
              <w:rPr>
                <w:rFonts w:ascii="Arial" w:hAnsi="Arial" w:cs="Arial"/>
              </w:rPr>
              <w:t>Guardianes de un Ambiente Sustentable, Instituto Regional de Planificación, Control y Servicios Ambientales, Estética de la conservación y</w:t>
            </w:r>
            <w:r w:rsidR="00246AE5">
              <w:rPr>
                <w:rFonts w:ascii="Arial" w:hAnsi="Arial" w:cs="Arial"/>
              </w:rPr>
              <w:t xml:space="preserve"> </w:t>
            </w:r>
            <w:r w:rsidRPr="003B2FC1">
              <w:rPr>
                <w:rFonts w:ascii="Arial" w:hAnsi="Arial" w:cs="Arial"/>
              </w:rPr>
              <w:t>una ética de la Tierra o bioética, Club Sierra y Friends of the Earth en EE.UU, CEPAL (Comisión Económica para América Latina y el Caribe</w:t>
            </w:r>
            <w:r w:rsidR="00C22C6D">
              <w:rPr>
                <w:rFonts w:ascii="Arial" w:hAnsi="Arial" w:cs="Arial"/>
              </w:rPr>
              <w:t>).</w:t>
            </w:r>
          </w:p>
        </w:tc>
        <w:tc>
          <w:tcPr>
            <w:tcW w:w="4961" w:type="dxa"/>
          </w:tcPr>
          <w:p w:rsidR="00981E8C" w:rsidRPr="003B2FC1" w:rsidRDefault="00981E8C" w:rsidP="00B45ACF">
            <w:pPr>
              <w:jc w:val="both"/>
              <w:rPr>
                <w:rFonts w:ascii="Arial" w:hAnsi="Arial" w:cs="Arial"/>
              </w:rPr>
            </w:pPr>
            <w:r w:rsidRPr="003B2FC1">
              <w:rPr>
                <w:rFonts w:ascii="Arial" w:hAnsi="Arial" w:cs="Arial"/>
              </w:rPr>
              <w:t>A través de la educación, contribuir a la solución de problemas ambientales que enfrenta la comunidad, con la información necesaria, a través de la participación directa y/o mediante la búsqueda de apoyos externos.</w:t>
            </w:r>
            <w:r w:rsidR="00246AE5">
              <w:rPr>
                <w:rFonts w:ascii="Arial" w:hAnsi="Arial" w:cs="Arial"/>
              </w:rPr>
              <w:t xml:space="preserve"> </w:t>
            </w:r>
            <w:r w:rsidRPr="003B2FC1">
              <w:rPr>
                <w:rFonts w:ascii="Arial" w:hAnsi="Arial" w:cs="Arial"/>
              </w:rPr>
              <w:t>Integrar la presencia de los tomadores de decisiones en la Educación Básica y Normal en la planeación que realizan las organizaciones civiles y grupos especializados para incluir sus programas en el currículo de la educación formal.</w:t>
            </w:r>
          </w:p>
          <w:p w:rsidR="00C924CE" w:rsidRPr="003B2FC1" w:rsidRDefault="00981E8C" w:rsidP="00721DE3">
            <w:pPr>
              <w:jc w:val="both"/>
              <w:rPr>
                <w:rFonts w:ascii="Arial" w:hAnsi="Arial" w:cs="Arial"/>
              </w:rPr>
            </w:pPr>
            <w:r w:rsidRPr="003B2FC1">
              <w:rPr>
                <w:rFonts w:ascii="Arial" w:hAnsi="Arial" w:cs="Arial"/>
              </w:rPr>
              <w:t>Establecer convenios de colaboración académica intersectorial que permitan establecer los niveles de responsabilidad y compromiso de cada uno de los participantes en los procesos de enseñanza y aprendizaje de la educación ambiental.</w:t>
            </w:r>
            <w:r w:rsidR="00246AE5">
              <w:rPr>
                <w:rFonts w:ascii="Arial" w:hAnsi="Arial" w:cs="Arial"/>
              </w:rPr>
              <w:t xml:space="preserve"> </w:t>
            </w:r>
            <w:r w:rsidRPr="003B2FC1">
              <w:rPr>
                <w:rFonts w:ascii="Arial" w:hAnsi="Arial" w:cs="Arial"/>
              </w:rPr>
              <w:t>Promover y difundir la formación ambiental entre los formadores de docentes, así como en los multiplicadores de programas en las dependencias y organismos responsables de promover la educación ambiental.</w:t>
            </w:r>
            <w:r w:rsidR="00246AE5">
              <w:rPr>
                <w:rFonts w:ascii="Arial" w:hAnsi="Arial" w:cs="Arial"/>
              </w:rPr>
              <w:t xml:space="preserve"> </w:t>
            </w:r>
            <w:r w:rsidRPr="003B2FC1">
              <w:rPr>
                <w:rFonts w:ascii="Arial" w:hAnsi="Arial" w:cs="Arial"/>
              </w:rPr>
              <w:t>Insistir en la posibilidad de acción de los docentes como planeadores para la evaluación de proyectos y programas que demandan su inclusión en el currículo de los estudiantes.</w:t>
            </w:r>
            <w:r w:rsidR="00721DE3">
              <w:rPr>
                <w:rFonts w:ascii="Arial" w:hAnsi="Arial" w:cs="Arial"/>
              </w:rPr>
              <w:t xml:space="preserve"> </w:t>
            </w:r>
            <w:r w:rsidRPr="003B2FC1">
              <w:rPr>
                <w:rFonts w:ascii="Arial" w:hAnsi="Arial" w:cs="Arial"/>
              </w:rPr>
              <w:t>Establecer la evaluación de los programas académicos de educación ambiental.</w:t>
            </w:r>
          </w:p>
        </w:tc>
      </w:tr>
      <w:tr w:rsidR="00426587" w:rsidTr="00721DE3">
        <w:tc>
          <w:tcPr>
            <w:tcW w:w="2376" w:type="dxa"/>
          </w:tcPr>
          <w:p w:rsidR="00C924CE" w:rsidRPr="004A7FD0" w:rsidRDefault="004A7FD0" w:rsidP="004A7FD0">
            <w:pPr>
              <w:jc w:val="center"/>
              <w:rPr>
                <w:rFonts w:ascii="Arial" w:hAnsi="Arial" w:cs="Arial"/>
              </w:rPr>
            </w:pPr>
            <w:r>
              <w:rPr>
                <w:rFonts w:ascii="Arial" w:hAnsi="Arial" w:cs="Arial"/>
              </w:rPr>
              <w:t>Interculturalidad</w:t>
            </w:r>
          </w:p>
        </w:tc>
        <w:tc>
          <w:tcPr>
            <w:tcW w:w="4536" w:type="dxa"/>
          </w:tcPr>
          <w:p w:rsidR="00C924CE" w:rsidRPr="003B2FC1" w:rsidRDefault="004A7FD0" w:rsidP="00B45ACF">
            <w:pPr>
              <w:jc w:val="both"/>
              <w:rPr>
                <w:rFonts w:ascii="Arial" w:hAnsi="Arial" w:cs="Arial"/>
              </w:rPr>
            </w:pPr>
            <w:r w:rsidRPr="0057734D">
              <w:rPr>
                <w:rFonts w:ascii="Arial" w:hAnsi="Arial" w:cs="Arial"/>
              </w:rPr>
              <w:t>En el año 2003, Se establece una relación  basada en el respeto a la diversidad y el enriquecimiento mutuo. Lo cual en esa fecha surge lo que es la interculturalidad.</w:t>
            </w:r>
          </w:p>
        </w:tc>
        <w:tc>
          <w:tcPr>
            <w:tcW w:w="4395" w:type="dxa"/>
          </w:tcPr>
          <w:p w:rsidR="00C924CE" w:rsidRPr="003B2FC1" w:rsidRDefault="004A7FD0" w:rsidP="00B45ACF">
            <w:pPr>
              <w:jc w:val="both"/>
              <w:rPr>
                <w:rFonts w:ascii="Arial" w:hAnsi="Arial" w:cs="Arial"/>
              </w:rPr>
            </w:pPr>
            <w:r w:rsidRPr="0057734D">
              <w:rPr>
                <w:rFonts w:ascii="Arial" w:hAnsi="Arial" w:cs="Arial"/>
              </w:rPr>
              <w:t>Es un proceso de comunicación e interacción entre personas  y grupos cultural este por encima del otro. Es importante aclarar que la interculturalidad no se refiere tan solo a la interacción que o</w:t>
            </w:r>
            <w:r>
              <w:rPr>
                <w:rFonts w:ascii="Arial" w:hAnsi="Arial" w:cs="Arial"/>
              </w:rPr>
              <w:t>curre a nivel geográfico si no</w:t>
            </w:r>
            <w:r w:rsidRPr="0057734D">
              <w:rPr>
                <w:rFonts w:ascii="Arial" w:hAnsi="Arial" w:cs="Arial"/>
              </w:rPr>
              <w:t>más bien, en cada una de las situaciones en las que se presentan diferencias.</w:t>
            </w:r>
          </w:p>
        </w:tc>
        <w:tc>
          <w:tcPr>
            <w:tcW w:w="2976" w:type="dxa"/>
          </w:tcPr>
          <w:p w:rsidR="00C924CE" w:rsidRPr="003B2FC1" w:rsidRDefault="004A7FD0" w:rsidP="00B45ACF">
            <w:pPr>
              <w:jc w:val="both"/>
              <w:rPr>
                <w:rFonts w:ascii="Arial" w:hAnsi="Arial" w:cs="Arial"/>
              </w:rPr>
            </w:pPr>
            <w:r>
              <w:rPr>
                <w:rFonts w:ascii="Arial" w:hAnsi="Arial" w:cs="Arial"/>
              </w:rPr>
              <w:t>Almaguer, J. Alejandro</w:t>
            </w:r>
            <w:r w:rsidRPr="0057734D">
              <w:rPr>
                <w:rFonts w:ascii="Arial" w:hAnsi="Arial" w:cs="Arial"/>
              </w:rPr>
              <w:t xml:space="preserve"> Alcina, Miquel y Salvador Hernández, Pedro Pablo.</w:t>
            </w:r>
          </w:p>
        </w:tc>
        <w:tc>
          <w:tcPr>
            <w:tcW w:w="4395" w:type="dxa"/>
          </w:tcPr>
          <w:p w:rsidR="00C924CE" w:rsidRPr="003B2FC1" w:rsidRDefault="004A7FD0" w:rsidP="00B45ACF">
            <w:pPr>
              <w:jc w:val="both"/>
              <w:rPr>
                <w:rFonts w:ascii="Arial" w:hAnsi="Arial" w:cs="Arial"/>
              </w:rPr>
            </w:pPr>
            <w:r w:rsidRPr="0057734D">
              <w:rPr>
                <w:rFonts w:ascii="Arial" w:hAnsi="Arial" w:cs="Arial"/>
              </w:rPr>
              <w:t>Los estudios interculturales son aplicados en el ámbito de la educación, la mercadotecnia y en el diseño de políticas públicas en países y regiones multiculturales, aunque su potencial de aplicación puede tocar casi todos los ámbitos de la actual actividad humana de desarrollo.</w:t>
            </w:r>
          </w:p>
        </w:tc>
        <w:tc>
          <w:tcPr>
            <w:tcW w:w="4961" w:type="dxa"/>
          </w:tcPr>
          <w:p w:rsidR="004A7FD0" w:rsidRPr="0057734D" w:rsidRDefault="004A7FD0" w:rsidP="004A7FD0">
            <w:pPr>
              <w:jc w:val="both"/>
              <w:rPr>
                <w:rFonts w:ascii="Arial" w:hAnsi="Arial" w:cs="Arial"/>
              </w:rPr>
            </w:pPr>
            <w:r w:rsidRPr="0057734D">
              <w:rPr>
                <w:rFonts w:ascii="Arial" w:hAnsi="Arial" w:cs="Arial"/>
              </w:rPr>
              <w:t>El proceso intercultural en general se divide en cuatro etapas:</w:t>
            </w:r>
            <w:r w:rsidR="00721DE3">
              <w:rPr>
                <w:rFonts w:ascii="Arial" w:hAnsi="Arial" w:cs="Arial"/>
              </w:rPr>
              <w:t xml:space="preserve"> </w:t>
            </w:r>
            <w:r w:rsidRPr="0057734D">
              <w:rPr>
                <w:rFonts w:ascii="Arial" w:hAnsi="Arial" w:cs="Arial"/>
              </w:rPr>
              <w:t xml:space="preserve">Respeto: Trato con dignidad, Trato como sujetos. Escucha respetuosa y libre expresión de percepciones y creencias. Reconocimiento de la otredad (existencia de otros modelos de </w:t>
            </w:r>
            <w:r w:rsidRPr="0057734D">
              <w:rPr>
                <w:rFonts w:ascii="Arial" w:hAnsi="Arial" w:cs="Arial"/>
              </w:rPr>
              <w:t>percepción</w:t>
            </w:r>
            <w:r w:rsidRPr="0057734D">
              <w:rPr>
                <w:rFonts w:ascii="Arial" w:hAnsi="Arial" w:cs="Arial"/>
              </w:rPr>
              <w:t xml:space="preserve"> de la realidad).</w:t>
            </w:r>
            <w:r w:rsidR="00721DE3">
              <w:rPr>
                <w:rFonts w:ascii="Arial" w:hAnsi="Arial" w:cs="Arial"/>
              </w:rPr>
              <w:t xml:space="preserve"> </w:t>
            </w:r>
            <w:r w:rsidRPr="0057734D">
              <w:rPr>
                <w:rFonts w:ascii="Arial" w:hAnsi="Arial" w:cs="Arial"/>
              </w:rPr>
              <w:t>Diálogo horizontal: Interacciones con igualdad de oportunidades. Reconocimiento de que no hay una verdad única. Empoderamiento. Construcción de una relación horizontal de "ganar - ganar"</w:t>
            </w:r>
            <w:r w:rsidR="00721DE3">
              <w:rPr>
                <w:rFonts w:ascii="Arial" w:hAnsi="Arial" w:cs="Arial"/>
              </w:rPr>
              <w:t xml:space="preserve"> </w:t>
            </w:r>
            <w:r w:rsidRPr="0057734D">
              <w:rPr>
                <w:rFonts w:ascii="Arial" w:hAnsi="Arial" w:cs="Arial"/>
              </w:rPr>
              <w:t xml:space="preserve">Comprensión mutua: </w:t>
            </w:r>
            <w:r w:rsidRPr="0057734D">
              <w:rPr>
                <w:rFonts w:ascii="Arial" w:hAnsi="Arial" w:cs="Arial"/>
              </w:rPr>
              <w:lastRenderedPageBreak/>
              <w:t>Entendimiento del(os) otro(s). Enriquecimiento mutuo, sintonía y resonancia (Capacidad y disposición para comprender e incorporar lo planteado por el otro (a). Empatía.</w:t>
            </w:r>
            <w:r>
              <w:rPr>
                <w:rFonts w:ascii="Arial" w:hAnsi="Arial" w:cs="Arial"/>
              </w:rPr>
              <w:t xml:space="preserve"> </w:t>
            </w:r>
            <w:r w:rsidRPr="0057734D">
              <w:rPr>
                <w:rFonts w:ascii="Arial" w:hAnsi="Arial" w:cs="Arial"/>
              </w:rPr>
              <w:t>Sinergia: Obtención de resultados que son difíciles de obtener desde una sola perspectiva y de forma independiente. Valor de la diversidad, donde 1 más uno, son más que dos.</w:t>
            </w:r>
          </w:p>
          <w:p w:rsidR="00C924CE" w:rsidRPr="003B2FC1" w:rsidRDefault="004A7FD0" w:rsidP="004A7FD0">
            <w:pPr>
              <w:jc w:val="both"/>
              <w:rPr>
                <w:rFonts w:ascii="Arial" w:hAnsi="Arial" w:cs="Arial"/>
              </w:rPr>
            </w:pPr>
            <w:r w:rsidRPr="0057734D">
              <w:rPr>
                <w:rFonts w:ascii="Arial" w:hAnsi="Arial" w:cs="Arial"/>
              </w:rPr>
              <w:t>Por último, cabe mencionar que para que la interculturalidad sea efectiva es necesario que se cumplan tres actitudes básicas, como la visión dinámica de las culturas, el convencimiento de que los vínculos cercanos sólo son posibles por medio de la comunicación y la conformación de una amplia ciudadanía donde exista la igualdad de derechos.</w:t>
            </w:r>
          </w:p>
        </w:tc>
      </w:tr>
      <w:tr w:rsidR="00426587" w:rsidTr="00721DE3">
        <w:tc>
          <w:tcPr>
            <w:tcW w:w="2376" w:type="dxa"/>
          </w:tcPr>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721DE3" w:rsidRDefault="00721DE3" w:rsidP="00426587">
            <w:pPr>
              <w:jc w:val="center"/>
              <w:rPr>
                <w:rFonts w:ascii="Arial" w:hAnsi="Arial" w:cs="Arial"/>
              </w:rPr>
            </w:pPr>
          </w:p>
          <w:p w:rsidR="00721DE3" w:rsidRDefault="00721DE3" w:rsidP="00426587">
            <w:pPr>
              <w:jc w:val="center"/>
              <w:rPr>
                <w:rFonts w:ascii="Arial" w:hAnsi="Arial" w:cs="Arial"/>
              </w:rPr>
            </w:pPr>
          </w:p>
          <w:p w:rsidR="00721DE3" w:rsidRDefault="00721DE3" w:rsidP="00426587">
            <w:pPr>
              <w:jc w:val="center"/>
              <w:rPr>
                <w:rFonts w:ascii="Arial" w:hAnsi="Arial" w:cs="Arial"/>
              </w:rPr>
            </w:pPr>
          </w:p>
          <w:p w:rsidR="00721DE3" w:rsidRDefault="00721DE3" w:rsidP="00426587">
            <w:pPr>
              <w:jc w:val="center"/>
              <w:rPr>
                <w:rFonts w:ascii="Arial" w:hAnsi="Arial" w:cs="Arial"/>
              </w:rPr>
            </w:pPr>
          </w:p>
          <w:p w:rsidR="00C924CE" w:rsidRPr="003B2FC1" w:rsidRDefault="00981E8C" w:rsidP="00426587">
            <w:pPr>
              <w:jc w:val="center"/>
              <w:rPr>
                <w:rFonts w:ascii="Arial" w:hAnsi="Arial" w:cs="Arial"/>
              </w:rPr>
            </w:pPr>
            <w:r w:rsidRPr="003B2FC1">
              <w:rPr>
                <w:rFonts w:ascii="Arial" w:hAnsi="Arial" w:cs="Arial"/>
              </w:rPr>
              <w:t>Feminismo</w:t>
            </w:r>
          </w:p>
        </w:tc>
        <w:tc>
          <w:tcPr>
            <w:tcW w:w="4536" w:type="dxa"/>
          </w:tcPr>
          <w:p w:rsidR="00C924CE" w:rsidRPr="003B2FC1" w:rsidRDefault="00981E8C" w:rsidP="0091266B">
            <w:pPr>
              <w:jc w:val="both"/>
              <w:rPr>
                <w:rFonts w:ascii="Arial" w:hAnsi="Arial" w:cs="Arial"/>
              </w:rPr>
            </w:pPr>
            <w:r w:rsidRPr="003B2FC1">
              <w:rPr>
                <w:rFonts w:ascii="Arial" w:hAnsi="Arial" w:cs="Arial"/>
              </w:rPr>
              <w:t xml:space="preserve">Del latín </w:t>
            </w:r>
            <w:r w:rsidR="00C22C6D" w:rsidRPr="003B2FC1">
              <w:rPr>
                <w:rFonts w:ascii="Arial" w:hAnsi="Arial" w:cs="Arial"/>
              </w:rPr>
              <w:t>fémina</w:t>
            </w:r>
            <w:r w:rsidRPr="003B2FC1">
              <w:rPr>
                <w:rFonts w:ascii="Arial" w:hAnsi="Arial" w:cs="Arial"/>
              </w:rPr>
              <w:t xml:space="preserve"> (“mujer”), el feminismo es la doctrina social favorable a la mujer. Se trata de un movimiento que exige que hombres y mujeres tengan los mismos derechos: por lo tanto, concede al género femenino capacidades antes reservadas sólo a los hombres</w:t>
            </w:r>
            <w:r w:rsidR="0091266B">
              <w:rPr>
                <w:rFonts w:ascii="Arial" w:hAnsi="Arial" w:cs="Arial"/>
              </w:rPr>
              <w:t xml:space="preserve">. </w:t>
            </w:r>
            <w:r w:rsidRPr="003B2FC1">
              <w:rPr>
                <w:rFonts w:ascii="Arial" w:hAnsi="Arial" w:cs="Arial"/>
              </w:rPr>
              <w:t>Las primeras manifestaciones del feminismo como propuesta política surgen en siglo XVIII. Con la ilustración las mujeres tuvieron gran protagonismo en los movimientos revolucionarios, pero quedaron fuera de ellos cuando los hombres lograron los derechos civiles y políticos. La igualdad de los sexos era negada, se consideraba que las mujeres eran seres carentes de razón.</w:t>
            </w:r>
          </w:p>
        </w:tc>
        <w:tc>
          <w:tcPr>
            <w:tcW w:w="4395" w:type="dxa"/>
          </w:tcPr>
          <w:p w:rsidR="00981E8C" w:rsidRPr="003B2FC1" w:rsidRDefault="00981E8C" w:rsidP="00B45ACF">
            <w:pPr>
              <w:jc w:val="both"/>
              <w:rPr>
                <w:rFonts w:ascii="Arial" w:hAnsi="Arial" w:cs="Arial"/>
              </w:rPr>
            </w:pPr>
            <w:r w:rsidRPr="003B2FC1">
              <w:rPr>
                <w:rFonts w:ascii="Arial" w:hAnsi="Arial" w:cs="Arial"/>
              </w:rPr>
              <w:t>La igualdad ha sido conquistada en muchos países, pero aún queda mucho camino por recorrer para que la subordinación de las mujeres desaparezca. En ello trabaja el feminismo.</w:t>
            </w:r>
          </w:p>
          <w:p w:rsidR="00C924CE" w:rsidRPr="003B2FC1" w:rsidRDefault="00C924CE" w:rsidP="00B45ACF">
            <w:pPr>
              <w:jc w:val="both"/>
              <w:rPr>
                <w:rFonts w:ascii="Arial" w:hAnsi="Arial" w:cs="Arial"/>
              </w:rPr>
            </w:pPr>
          </w:p>
        </w:tc>
        <w:tc>
          <w:tcPr>
            <w:tcW w:w="2976" w:type="dxa"/>
          </w:tcPr>
          <w:p w:rsidR="00C924CE" w:rsidRPr="003B2FC1" w:rsidRDefault="008A7850" w:rsidP="00B45ACF">
            <w:pPr>
              <w:jc w:val="both"/>
              <w:rPr>
                <w:rFonts w:ascii="Arial" w:hAnsi="Arial" w:cs="Arial"/>
              </w:rPr>
            </w:pPr>
            <w:r>
              <w:rPr>
                <w:rFonts w:ascii="Arial" w:hAnsi="Arial" w:cs="Arial"/>
              </w:rPr>
              <w:t>Mary Wollstonecraft, Eli Bartra</w:t>
            </w:r>
            <w:r w:rsidR="00246AE5">
              <w:rPr>
                <w:rFonts w:ascii="Arial" w:hAnsi="Arial" w:cs="Arial"/>
              </w:rPr>
              <w:t>, Christine de Piza, Olympe de Gouges.</w:t>
            </w:r>
          </w:p>
        </w:tc>
        <w:tc>
          <w:tcPr>
            <w:tcW w:w="4395" w:type="dxa"/>
          </w:tcPr>
          <w:p w:rsidR="00C924CE" w:rsidRPr="003B2FC1" w:rsidRDefault="00981E8C" w:rsidP="0091266B">
            <w:pPr>
              <w:jc w:val="both"/>
              <w:rPr>
                <w:rFonts w:ascii="Arial" w:hAnsi="Arial" w:cs="Arial"/>
              </w:rPr>
            </w:pPr>
            <w:r w:rsidRPr="003B2FC1">
              <w:rPr>
                <w:rFonts w:ascii="Arial" w:hAnsi="Arial" w:cs="Arial"/>
              </w:rPr>
              <w:t>Menciona Eli Bartra que para hacer un análisis del feminismo en México, se deben establecer tres etapas:</w:t>
            </w:r>
            <w:r w:rsidR="0091266B">
              <w:rPr>
                <w:rFonts w:ascii="Arial" w:hAnsi="Arial" w:cs="Arial"/>
              </w:rPr>
              <w:t xml:space="preserve"> </w:t>
            </w:r>
            <w:r w:rsidRPr="003B2FC1">
              <w:rPr>
                <w:rFonts w:ascii="Arial" w:hAnsi="Arial" w:cs="Arial"/>
              </w:rPr>
              <w:t>a) De 1970 a 1982. De organización, establecimiento y lucha.</w:t>
            </w:r>
            <w:r w:rsidR="0091266B">
              <w:rPr>
                <w:rFonts w:ascii="Arial" w:hAnsi="Arial" w:cs="Arial"/>
              </w:rPr>
              <w:t xml:space="preserve"> </w:t>
            </w:r>
            <w:r w:rsidRPr="003B2FC1">
              <w:rPr>
                <w:rFonts w:ascii="Arial" w:hAnsi="Arial" w:cs="Arial"/>
              </w:rPr>
              <w:t>b) Años 80. Estancamiento y despegue.</w:t>
            </w:r>
            <w:r w:rsidR="0091266B">
              <w:rPr>
                <w:rFonts w:ascii="Arial" w:hAnsi="Arial" w:cs="Arial"/>
              </w:rPr>
              <w:t xml:space="preserve"> </w:t>
            </w:r>
            <w:r w:rsidRPr="003B2FC1">
              <w:rPr>
                <w:rFonts w:ascii="Arial" w:hAnsi="Arial" w:cs="Arial"/>
              </w:rPr>
              <w:t>c) Años 90. Alianzas y conversiones. Esta ha sido la década de la política y de la búsqueda de la democratización.</w:t>
            </w:r>
          </w:p>
        </w:tc>
        <w:tc>
          <w:tcPr>
            <w:tcW w:w="4961" w:type="dxa"/>
          </w:tcPr>
          <w:p w:rsidR="00C924CE" w:rsidRPr="003B2FC1" w:rsidRDefault="00981E8C" w:rsidP="00721DE3">
            <w:pPr>
              <w:jc w:val="both"/>
              <w:rPr>
                <w:rFonts w:ascii="Arial" w:hAnsi="Arial" w:cs="Arial"/>
              </w:rPr>
            </w:pPr>
            <w:r w:rsidRPr="003B2FC1">
              <w:rPr>
                <w:rFonts w:ascii="Arial" w:hAnsi="Arial" w:cs="Arial"/>
              </w:rPr>
              <w:t>Los primeros grupos feministas que se formaron en México fueron:</w:t>
            </w:r>
            <w:r w:rsidR="0091266B">
              <w:rPr>
                <w:rFonts w:ascii="Arial" w:hAnsi="Arial" w:cs="Arial"/>
              </w:rPr>
              <w:t xml:space="preserve"> </w:t>
            </w:r>
            <w:r w:rsidRPr="003B2FC1">
              <w:rPr>
                <w:rFonts w:ascii="Arial" w:hAnsi="Arial" w:cs="Arial"/>
              </w:rPr>
              <w:t>Mujeres en Acción Solidaria (MAS).</w:t>
            </w:r>
            <w:r w:rsidR="0091266B">
              <w:rPr>
                <w:rFonts w:ascii="Arial" w:hAnsi="Arial" w:cs="Arial"/>
              </w:rPr>
              <w:t xml:space="preserve"> </w:t>
            </w:r>
            <w:r w:rsidRPr="003B2FC1">
              <w:rPr>
                <w:rFonts w:ascii="Arial" w:hAnsi="Arial" w:cs="Arial"/>
              </w:rPr>
              <w:t>Movimiento de Liberación de la Mujer (MLM)</w:t>
            </w:r>
            <w:r w:rsidR="0091266B">
              <w:rPr>
                <w:rFonts w:ascii="Arial" w:hAnsi="Arial" w:cs="Arial"/>
              </w:rPr>
              <w:t xml:space="preserve"> </w:t>
            </w:r>
            <w:r w:rsidRPr="003B2FC1">
              <w:rPr>
                <w:rFonts w:ascii="Arial" w:hAnsi="Arial" w:cs="Arial"/>
              </w:rPr>
              <w:t>Movimiento Nacional de las Mujeres (MNM) y los congregados en torno a las publicaciones de las revistas FEM o La Revuelta.</w:t>
            </w:r>
            <w:r w:rsidR="0091266B">
              <w:rPr>
                <w:rFonts w:ascii="Arial" w:hAnsi="Arial" w:cs="Arial"/>
              </w:rPr>
              <w:t xml:space="preserve"> </w:t>
            </w:r>
            <w:r w:rsidRPr="003B2FC1">
              <w:rPr>
                <w:rFonts w:ascii="Arial" w:hAnsi="Arial" w:cs="Arial"/>
              </w:rPr>
              <w:t>"El Movimiento de Liberación de la Mujer (MLM) fue el grupo más importante, sirvió para sentar las bases de la nueva conciencia feminista en el país. A partir de ahí fue creciendo y multiplicándose hacia mil y un lados durante la década de los 80's". En la década de los ochenta el movimiento feminista se vincula al trabajo con las mujeres obreras y campesinas.</w:t>
            </w:r>
            <w:r w:rsidR="0091266B">
              <w:rPr>
                <w:rFonts w:ascii="Arial" w:hAnsi="Arial" w:cs="Arial"/>
              </w:rPr>
              <w:t xml:space="preserve"> </w:t>
            </w:r>
            <w:r w:rsidRPr="003B2FC1">
              <w:rPr>
                <w:rFonts w:ascii="Arial" w:hAnsi="Arial" w:cs="Arial"/>
              </w:rPr>
              <w:t>1988 se lleva a cabo el IV Encuentro Feminista Latinoamericano y del Caribe en Taxco.</w:t>
            </w:r>
            <w:r w:rsidR="00721DE3">
              <w:rPr>
                <w:rFonts w:ascii="Arial" w:hAnsi="Arial" w:cs="Arial"/>
              </w:rPr>
              <w:t xml:space="preserve"> </w:t>
            </w:r>
            <w:r w:rsidRPr="003B2FC1">
              <w:rPr>
                <w:rFonts w:ascii="Arial" w:hAnsi="Arial" w:cs="Arial"/>
              </w:rPr>
              <w:t>Después del sismo de 1985, el movimiento feminista se vincula con obreras, se organiza el Sindicato de Costureras 19 de Septiembre.</w:t>
            </w:r>
          </w:p>
        </w:tc>
      </w:tr>
      <w:tr w:rsidR="00426587" w:rsidRPr="00981E8C" w:rsidTr="00721DE3">
        <w:tc>
          <w:tcPr>
            <w:tcW w:w="2376" w:type="dxa"/>
          </w:tcPr>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22C6D" w:rsidRDefault="00C22C6D" w:rsidP="00B45ACF">
            <w:pPr>
              <w:jc w:val="both"/>
              <w:rPr>
                <w:rFonts w:ascii="Arial" w:hAnsi="Arial" w:cs="Arial"/>
              </w:rPr>
            </w:pPr>
          </w:p>
          <w:p w:rsidR="00C924CE" w:rsidRPr="003B2FC1" w:rsidRDefault="00981E8C" w:rsidP="00426587">
            <w:pPr>
              <w:jc w:val="center"/>
              <w:rPr>
                <w:rFonts w:ascii="Arial" w:hAnsi="Arial" w:cs="Arial"/>
              </w:rPr>
            </w:pPr>
            <w:r w:rsidRPr="003B2FC1">
              <w:rPr>
                <w:rFonts w:ascii="Arial" w:hAnsi="Arial" w:cs="Arial"/>
              </w:rPr>
              <w:t>Equidad</w:t>
            </w:r>
          </w:p>
        </w:tc>
        <w:tc>
          <w:tcPr>
            <w:tcW w:w="4536" w:type="dxa"/>
          </w:tcPr>
          <w:p w:rsidR="00C924CE" w:rsidRPr="003B2FC1" w:rsidRDefault="00981E8C" w:rsidP="0091266B">
            <w:pPr>
              <w:jc w:val="both"/>
              <w:rPr>
                <w:rFonts w:ascii="Arial" w:hAnsi="Arial" w:cs="Arial"/>
              </w:rPr>
            </w:pPr>
            <w:r w:rsidRPr="003B2FC1">
              <w:rPr>
                <w:rFonts w:ascii="Arial" w:hAnsi="Arial" w:cs="Arial"/>
              </w:rPr>
              <w:t>En 1998 se conforma Presupuestos públicos con perspectiva de género, área en la que se investigan y analizan las partidas del gasto público relacionadas con las demandas de las mujeres en los sectores salud y educación, primordialmente.</w:t>
            </w:r>
            <w:r w:rsidR="0091266B">
              <w:rPr>
                <w:rFonts w:ascii="Arial" w:hAnsi="Arial" w:cs="Arial"/>
              </w:rPr>
              <w:t xml:space="preserve"> </w:t>
            </w:r>
            <w:r w:rsidRPr="003B2FC1">
              <w:rPr>
                <w:rFonts w:ascii="Arial" w:hAnsi="Arial" w:cs="Arial"/>
              </w:rPr>
              <w:t xml:space="preserve">Desde entonces, la organización se ha dado a la tarea de capacitar a sus filas en la elaboración, interpretación y modificación de presupuestos públicos, además de desarrollar herramientas que permiten difundir esta experiencia a mujeres de casi </w:t>
            </w:r>
            <w:r w:rsidRPr="003B2FC1">
              <w:rPr>
                <w:rFonts w:ascii="Arial" w:hAnsi="Arial" w:cs="Arial"/>
              </w:rPr>
              <w:lastRenderedPageBreak/>
              <w:t>todo el país, convirtiéndose en punto de referencia.</w:t>
            </w:r>
          </w:p>
        </w:tc>
        <w:tc>
          <w:tcPr>
            <w:tcW w:w="4395" w:type="dxa"/>
          </w:tcPr>
          <w:p w:rsidR="00C924CE" w:rsidRPr="003B2FC1" w:rsidRDefault="0091266B" w:rsidP="0091266B">
            <w:pPr>
              <w:jc w:val="both"/>
              <w:rPr>
                <w:rFonts w:ascii="Arial" w:hAnsi="Arial" w:cs="Arial"/>
              </w:rPr>
            </w:pPr>
            <w:r>
              <w:rPr>
                <w:rFonts w:ascii="Arial" w:hAnsi="Arial" w:cs="Arial"/>
              </w:rPr>
              <w:lastRenderedPageBreak/>
              <w:t>S</w:t>
            </w:r>
            <w:r w:rsidR="00981E8C" w:rsidRPr="003B2FC1">
              <w:rPr>
                <w:rFonts w:ascii="Arial" w:hAnsi="Arial" w:cs="Arial"/>
              </w:rPr>
              <w:t>e utiliza para mencionar nociones de justicia e igualdad social con valoración de la individualidad.</w:t>
            </w:r>
            <w:r>
              <w:rPr>
                <w:rFonts w:ascii="Arial" w:hAnsi="Arial" w:cs="Arial"/>
              </w:rPr>
              <w:t xml:space="preserve"> </w:t>
            </w:r>
            <w:r w:rsidR="00981E8C" w:rsidRPr="003B2FC1">
              <w:rPr>
                <w:rFonts w:ascii="Arial" w:hAnsi="Arial" w:cs="Arial"/>
              </w:rPr>
              <w:t>La Equidad de Género es un concepto que defiende la igualdad entre el hombre y la mujer en el uso y control de los bienes y servicios de una sociedad. Esta consideración lo que propone es que las mujeres deben recibir la misma remuneración que recibe un hombre en caso de d</w:t>
            </w:r>
            <w:r>
              <w:rPr>
                <w:rFonts w:ascii="Arial" w:hAnsi="Arial" w:cs="Arial"/>
              </w:rPr>
              <w:t>esempeñar la misma tarea que el</w:t>
            </w:r>
            <w:r w:rsidR="00981E8C" w:rsidRPr="003B2FC1">
              <w:rPr>
                <w:rFonts w:ascii="Arial" w:hAnsi="Arial" w:cs="Arial"/>
              </w:rPr>
              <w:t xml:space="preserve"> asimismo de suponer que ambos géneros deben tener el mismo poder a la hora de la toma de las </w:t>
            </w:r>
            <w:r w:rsidR="00981E8C" w:rsidRPr="003B2FC1">
              <w:rPr>
                <w:rFonts w:ascii="Arial" w:hAnsi="Arial" w:cs="Arial"/>
              </w:rPr>
              <w:lastRenderedPageBreak/>
              <w:t>decisiones</w:t>
            </w:r>
          </w:p>
        </w:tc>
        <w:tc>
          <w:tcPr>
            <w:tcW w:w="2976" w:type="dxa"/>
          </w:tcPr>
          <w:p w:rsidR="00C924CE" w:rsidRPr="0091266B" w:rsidRDefault="00981E8C" w:rsidP="0091266B">
            <w:pPr>
              <w:jc w:val="both"/>
              <w:rPr>
                <w:rFonts w:ascii="Arial" w:hAnsi="Arial" w:cs="Arial"/>
                <w:lang w:val="es-MX"/>
              </w:rPr>
            </w:pPr>
            <w:r w:rsidRPr="003B2FC1">
              <w:rPr>
                <w:rFonts w:ascii="Arial" w:hAnsi="Arial" w:cs="Arial"/>
              </w:rPr>
              <w:lastRenderedPageBreak/>
              <w:t>François Poulain de la Barre,  Juan Jacobo Rousseau ( fundamento de la desigualdad entre los hombres)</w:t>
            </w:r>
            <w:r w:rsidR="0091266B">
              <w:rPr>
                <w:rFonts w:ascii="Arial" w:hAnsi="Arial" w:cs="Arial"/>
              </w:rPr>
              <w:t xml:space="preserve"> </w:t>
            </w:r>
            <w:r w:rsidRPr="0091266B">
              <w:rPr>
                <w:rFonts w:ascii="Arial" w:hAnsi="Arial" w:cs="Arial"/>
                <w:lang w:val="es-MX"/>
              </w:rPr>
              <w:t>D´Alembert, Condorcet, Madame de Lambert John Money</w:t>
            </w:r>
          </w:p>
        </w:tc>
        <w:tc>
          <w:tcPr>
            <w:tcW w:w="4395" w:type="dxa"/>
          </w:tcPr>
          <w:p w:rsidR="00C924CE" w:rsidRPr="003B2FC1" w:rsidRDefault="00981E8C" w:rsidP="00B45ACF">
            <w:pPr>
              <w:jc w:val="both"/>
              <w:rPr>
                <w:rFonts w:ascii="Arial" w:hAnsi="Arial" w:cs="Arial"/>
              </w:rPr>
            </w:pPr>
            <w:r w:rsidRPr="003B2FC1">
              <w:rPr>
                <w:rFonts w:ascii="Arial" w:hAnsi="Arial" w:cs="Arial"/>
              </w:rPr>
              <w:t xml:space="preserve">Una de las principales formas de lograr la equidad de género es el "empoderamiento de la mujer". Como mencionamos anteriormente, en la actualidad, la mayoría de las posiciones laborales que implican tomar decisiones de asignaciones de recursos, como gerentes y mandos medios de empresas y puestos políticos, están ocupados por hombres, lo que implica a priori que las decisiones se acercarán a la visión de los hombres y puede que no tengan en cuenta las necesidades y preferencias de las </w:t>
            </w:r>
            <w:r w:rsidRPr="003B2FC1">
              <w:rPr>
                <w:rFonts w:ascii="Arial" w:hAnsi="Arial" w:cs="Arial"/>
              </w:rPr>
              <w:lastRenderedPageBreak/>
              <w:t>mujeres. A nivel global, sólo el 15% de las bancas parlamentarias están ocupadas por mujeres</w:t>
            </w:r>
            <w:r w:rsidR="0091266B">
              <w:rPr>
                <w:rFonts w:ascii="Arial" w:hAnsi="Arial" w:cs="Arial"/>
              </w:rPr>
              <w:t xml:space="preserve"> </w:t>
            </w:r>
            <w:r w:rsidRPr="003B2FC1">
              <w:rPr>
                <w:rFonts w:ascii="Arial" w:hAnsi="Arial" w:cs="Arial"/>
              </w:rPr>
              <w:t>(3). El hecho de que la mayoría de las posiciones de poder estén ocupadas por hombres, constituye una gran barrera para la equidad de género, debido a que tiende a perpetuar las inequidades. Es por esto que las organizaciones sociales, como la Unesco, Unicef, Naciones Unidas, etc., tienen muy en cuenta al "empoderamiento de la mujer", esto es, al acceso de las mujeres a posiciones de decisión, como una herramienta importante para disminuir la brecha entre hombres y mujeres.</w:t>
            </w:r>
          </w:p>
        </w:tc>
        <w:tc>
          <w:tcPr>
            <w:tcW w:w="4961" w:type="dxa"/>
          </w:tcPr>
          <w:p w:rsidR="00C924CE" w:rsidRPr="003B2FC1" w:rsidRDefault="00981E8C" w:rsidP="00B45ACF">
            <w:pPr>
              <w:jc w:val="both"/>
              <w:rPr>
                <w:rFonts w:ascii="Arial" w:hAnsi="Arial" w:cs="Arial"/>
              </w:rPr>
            </w:pPr>
            <w:r w:rsidRPr="003B2FC1">
              <w:rPr>
                <w:rFonts w:ascii="Arial" w:hAnsi="Arial" w:cs="Arial"/>
              </w:rPr>
              <w:lastRenderedPageBreak/>
              <w:t xml:space="preserve">Proyecto financiado por el Programa de Naciones Unidas para el Desarrollo (PNUD) y realizado en colaboración con la SEP del Estado de México. Actividades realizadas en el proyecto: un taller de 40 horas dirigido a 30 docentes, </w:t>
            </w:r>
            <w:proofErr w:type="spellStart"/>
            <w:r w:rsidRPr="003B2FC1">
              <w:rPr>
                <w:rFonts w:ascii="Arial" w:hAnsi="Arial" w:cs="Arial"/>
              </w:rPr>
              <w:t>ATPs</w:t>
            </w:r>
            <w:proofErr w:type="spellEnd"/>
            <w:r w:rsidRPr="003B2FC1">
              <w:rPr>
                <w:rFonts w:ascii="Arial" w:hAnsi="Arial" w:cs="Arial"/>
              </w:rPr>
              <w:t xml:space="preserve"> y directores y directoras de educación primaria</w:t>
            </w:r>
            <w:r w:rsidR="00C22C6D">
              <w:rPr>
                <w:rFonts w:ascii="Arial" w:hAnsi="Arial" w:cs="Arial"/>
              </w:rPr>
              <w:t xml:space="preserve"> </w:t>
            </w:r>
            <w:r w:rsidRPr="003B2FC1">
              <w:rPr>
                <w:rFonts w:ascii="Arial" w:hAnsi="Arial" w:cs="Arial"/>
              </w:rPr>
              <w:t>y secundaria,</w:t>
            </w:r>
            <w:r w:rsidR="00C22C6D">
              <w:rPr>
                <w:rFonts w:ascii="Arial" w:hAnsi="Arial" w:cs="Arial"/>
              </w:rPr>
              <w:t xml:space="preserve"> </w:t>
            </w:r>
            <w:r w:rsidRPr="003B2FC1">
              <w:rPr>
                <w:rFonts w:ascii="Arial" w:hAnsi="Arial" w:cs="Arial"/>
              </w:rPr>
              <w:t xml:space="preserve">creación y dinamización de un grupo en facebook y en </w:t>
            </w:r>
            <w:r w:rsidR="00C22C6D" w:rsidRPr="003B2FC1">
              <w:rPr>
                <w:rFonts w:ascii="Arial" w:hAnsi="Arial" w:cs="Arial"/>
              </w:rPr>
              <w:t>YouTube</w:t>
            </w:r>
            <w:r w:rsidRPr="003B2FC1">
              <w:rPr>
                <w:rFonts w:ascii="Arial" w:hAnsi="Arial" w:cs="Arial"/>
              </w:rPr>
              <w:t xml:space="preserve"> constituido por las personas participantes en el taller, actividades para la aplicación en el aula de las herramienta aprendidas en el taller con las alumnas o alumnos y realización de actividades </w:t>
            </w:r>
            <w:r w:rsidR="003B2FC1" w:rsidRPr="003B2FC1">
              <w:rPr>
                <w:rFonts w:ascii="Arial" w:hAnsi="Arial" w:cs="Arial"/>
              </w:rPr>
              <w:t>artísticas</w:t>
            </w:r>
            <w:r w:rsidRPr="003B2FC1">
              <w:rPr>
                <w:rFonts w:ascii="Arial" w:hAnsi="Arial" w:cs="Arial"/>
              </w:rPr>
              <w:t xml:space="preserve"> – </w:t>
            </w:r>
            <w:r w:rsidRPr="003B2FC1">
              <w:rPr>
                <w:rFonts w:ascii="Arial" w:hAnsi="Arial" w:cs="Arial"/>
              </w:rPr>
              <w:lastRenderedPageBreak/>
              <w:t xml:space="preserve">culturales en las escuelas participantes en el proyecto en el marco de los 16 </w:t>
            </w:r>
            <w:r w:rsidR="00C22C6D" w:rsidRPr="003B2FC1">
              <w:rPr>
                <w:rFonts w:ascii="Arial" w:hAnsi="Arial" w:cs="Arial"/>
              </w:rPr>
              <w:t>días</w:t>
            </w:r>
            <w:r w:rsidRPr="003B2FC1">
              <w:rPr>
                <w:rFonts w:ascii="Arial" w:hAnsi="Arial" w:cs="Arial"/>
              </w:rPr>
              <w:t xml:space="preserve"> de activismo contra la violencia hacia las mujeres.</w:t>
            </w:r>
          </w:p>
        </w:tc>
      </w:tr>
      <w:tr w:rsidR="00426587" w:rsidRPr="00981E8C" w:rsidTr="00721DE3">
        <w:tc>
          <w:tcPr>
            <w:tcW w:w="2376" w:type="dxa"/>
          </w:tcPr>
          <w:p w:rsidR="00C22C6D" w:rsidRDefault="00C22C6D" w:rsidP="00B45ACF">
            <w:pPr>
              <w:jc w:val="both"/>
              <w:rPr>
                <w:rFonts w:ascii="Arial" w:hAnsi="Arial" w:cs="Arial"/>
              </w:rPr>
            </w:pPr>
          </w:p>
          <w:p w:rsidR="00C22C6D" w:rsidRDefault="00C22C6D" w:rsidP="00B45ACF">
            <w:pPr>
              <w:jc w:val="both"/>
              <w:rPr>
                <w:rFonts w:ascii="Arial" w:hAnsi="Arial" w:cs="Arial"/>
              </w:rPr>
            </w:pPr>
          </w:p>
          <w:p w:rsidR="00C924CE" w:rsidRPr="003B2FC1" w:rsidRDefault="00981E8C" w:rsidP="00426587">
            <w:pPr>
              <w:jc w:val="center"/>
              <w:rPr>
                <w:rFonts w:ascii="Arial" w:hAnsi="Arial" w:cs="Arial"/>
              </w:rPr>
            </w:pPr>
            <w:r w:rsidRPr="003B2FC1">
              <w:rPr>
                <w:rFonts w:ascii="Arial" w:hAnsi="Arial" w:cs="Arial"/>
              </w:rPr>
              <w:t>Atención a la tercera edad</w:t>
            </w:r>
          </w:p>
        </w:tc>
        <w:tc>
          <w:tcPr>
            <w:tcW w:w="4536" w:type="dxa"/>
          </w:tcPr>
          <w:p w:rsidR="00C924CE" w:rsidRPr="003B2FC1" w:rsidRDefault="00981E8C" w:rsidP="00B45ACF">
            <w:pPr>
              <w:jc w:val="both"/>
              <w:rPr>
                <w:rFonts w:ascii="Arial" w:hAnsi="Arial" w:cs="Arial"/>
              </w:rPr>
            </w:pPr>
            <w:r w:rsidRPr="003B2FC1">
              <w:rPr>
                <w:rFonts w:ascii="Arial" w:hAnsi="Arial" w:cs="Arial"/>
              </w:rPr>
              <w:t>En 1986 se dio un proceso de cambios determinados por  factores fisiológicos, anatómicos, psicológicos y sociales.</w:t>
            </w:r>
          </w:p>
        </w:tc>
        <w:tc>
          <w:tcPr>
            <w:tcW w:w="4395" w:type="dxa"/>
          </w:tcPr>
          <w:p w:rsidR="00C924CE" w:rsidRPr="003B2FC1" w:rsidRDefault="00981E8C" w:rsidP="00B45ACF">
            <w:pPr>
              <w:jc w:val="both"/>
              <w:rPr>
                <w:rFonts w:ascii="Arial" w:hAnsi="Arial" w:cs="Arial"/>
              </w:rPr>
            </w:pPr>
            <w:r w:rsidRPr="003B2FC1">
              <w:rPr>
                <w:rFonts w:ascii="Arial" w:hAnsi="Arial" w:cs="Arial"/>
              </w:rPr>
              <w:t>Es el aspecto biológico y plantean que es: “Un proceso progresivo desfavorable de cambio a nivel fisiológico y anatómico, producto del paso del tiempo y que concluye invariablemente con la muerte"</w:t>
            </w:r>
          </w:p>
        </w:tc>
        <w:tc>
          <w:tcPr>
            <w:tcW w:w="2976" w:type="dxa"/>
          </w:tcPr>
          <w:p w:rsidR="00C924CE" w:rsidRPr="00030B02" w:rsidRDefault="00981E8C" w:rsidP="00B45ACF">
            <w:pPr>
              <w:jc w:val="both"/>
              <w:rPr>
                <w:rFonts w:ascii="Arial" w:hAnsi="Arial" w:cs="Arial"/>
                <w:lang w:val="es-MX"/>
              </w:rPr>
            </w:pPr>
            <w:r w:rsidRPr="00030B02">
              <w:rPr>
                <w:rFonts w:ascii="Arial" w:hAnsi="Arial" w:cs="Arial"/>
                <w:lang w:val="es-MX"/>
              </w:rPr>
              <w:t>Mark godway</w:t>
            </w:r>
            <w:r w:rsidR="00030B02" w:rsidRPr="00030B02">
              <w:rPr>
                <w:rFonts w:ascii="Arial" w:hAnsi="Arial" w:cs="Arial"/>
                <w:lang w:val="es-MX"/>
              </w:rPr>
              <w:t xml:space="preserve">, </w:t>
            </w:r>
            <w:r w:rsidR="00754EA5" w:rsidRPr="00E835D6">
              <w:rPr>
                <w:rFonts w:ascii="Arial" w:eastAsia="Times New Roman" w:hAnsi="Arial" w:cs="Arial"/>
                <w:color w:val="000000" w:themeColor="text1"/>
                <w:lang w:val="es-MX" w:eastAsia="es-MX"/>
              </w:rPr>
              <w:t xml:space="preserve">Moscovici, </w:t>
            </w:r>
            <w:r w:rsidR="00030B02" w:rsidRPr="00E835D6">
              <w:rPr>
                <w:rFonts w:ascii="Arial" w:eastAsia="Times New Roman" w:hAnsi="Arial" w:cs="Arial"/>
                <w:color w:val="000000" w:themeColor="text1"/>
                <w:lang w:val="es-MX" w:eastAsia="es-MX"/>
              </w:rPr>
              <w:t xml:space="preserve"> Crespi Martins, </w:t>
            </w:r>
            <w:r w:rsidR="00030B02" w:rsidRPr="00E835D6">
              <w:rPr>
                <w:rFonts w:ascii="Arial" w:eastAsia="Times New Roman" w:hAnsi="Arial" w:cs="Arial"/>
                <w:color w:val="445555"/>
                <w:lang w:eastAsia="es-MX"/>
              </w:rPr>
              <w:t xml:space="preserve"> </w:t>
            </w:r>
            <w:r w:rsidR="00030B02" w:rsidRPr="00E835D6">
              <w:rPr>
                <w:rFonts w:ascii="Arial" w:eastAsia="Times New Roman" w:hAnsi="Arial" w:cs="Arial"/>
                <w:color w:val="000000" w:themeColor="text1"/>
                <w:lang w:eastAsia="es-MX"/>
              </w:rPr>
              <w:t xml:space="preserve">Fernando González Rey, </w:t>
            </w:r>
            <w:r w:rsidR="00030B02" w:rsidRPr="00E835D6">
              <w:rPr>
                <w:rFonts w:ascii="Arial" w:eastAsia="Times New Roman" w:hAnsi="Arial" w:cs="Arial"/>
                <w:b/>
                <w:color w:val="FF0000"/>
                <w:lang w:eastAsia="es-MX"/>
              </w:rPr>
              <w:t xml:space="preserve"> </w:t>
            </w:r>
            <w:r w:rsidR="00030B02" w:rsidRPr="00E835D6">
              <w:rPr>
                <w:rFonts w:ascii="Arial" w:eastAsia="Times New Roman" w:hAnsi="Arial" w:cs="Arial"/>
                <w:color w:val="000000" w:themeColor="text1"/>
                <w:lang w:eastAsia="es-MX"/>
              </w:rPr>
              <w:t>Carl Rogers.</w:t>
            </w:r>
          </w:p>
        </w:tc>
        <w:tc>
          <w:tcPr>
            <w:tcW w:w="4395" w:type="dxa"/>
          </w:tcPr>
          <w:p w:rsidR="00C924CE" w:rsidRPr="003B2FC1" w:rsidRDefault="00030B02" w:rsidP="00B45ACF">
            <w:pPr>
              <w:jc w:val="both"/>
              <w:rPr>
                <w:rFonts w:ascii="Arial" w:hAnsi="Arial" w:cs="Arial"/>
              </w:rPr>
            </w:pPr>
            <w:r w:rsidRPr="00E835D6">
              <w:rPr>
                <w:rFonts w:ascii="Arial" w:eastAsia="Times New Roman" w:hAnsi="Arial" w:cs="Arial"/>
                <w:color w:val="000000" w:themeColor="text1"/>
                <w:lang w:val="es-MX" w:eastAsia="es-MX"/>
              </w:rPr>
              <w:t>Re</w:t>
            </w:r>
            <w:r w:rsidRPr="00E835D6">
              <w:rPr>
                <w:rFonts w:ascii="Arial" w:eastAsia="Times New Roman" w:hAnsi="Arial" w:cs="Arial"/>
                <w:color w:val="000000" w:themeColor="text1"/>
                <w:lang w:eastAsia="es-MX"/>
              </w:rPr>
              <w:t>presentación social de la vejez,</w:t>
            </w:r>
            <w:r w:rsidR="00E835D6" w:rsidRPr="00E835D6">
              <w:rPr>
                <w:rFonts w:ascii="Arial" w:eastAsia="Times New Roman" w:hAnsi="Arial" w:cs="Arial"/>
                <w:color w:val="000000" w:themeColor="text1"/>
                <w:lang w:eastAsia="es-MX"/>
              </w:rPr>
              <w:t xml:space="preserve"> </w:t>
            </w:r>
            <w:r w:rsidR="00E835D6" w:rsidRPr="00E835D6">
              <w:rPr>
                <w:rFonts w:ascii="Arial" w:eastAsia="Times New Roman" w:hAnsi="Arial" w:cs="Arial"/>
                <w:b/>
                <w:color w:val="FF0000"/>
                <w:lang w:eastAsia="es-MX"/>
              </w:rPr>
              <w:t xml:space="preserve"> </w:t>
            </w:r>
            <w:r w:rsidR="00E835D6" w:rsidRPr="00E835D6">
              <w:rPr>
                <w:rFonts w:ascii="Arial" w:eastAsia="Times New Roman" w:hAnsi="Arial" w:cs="Arial"/>
                <w:color w:val="000000" w:themeColor="text1"/>
                <w:lang w:eastAsia="es-MX"/>
              </w:rPr>
              <w:t>el bienestar del anciano como un ser bio- psico- social</w:t>
            </w:r>
            <w:r w:rsidR="00E835D6">
              <w:rPr>
                <w:rFonts w:ascii="Arial" w:eastAsia="Times New Roman" w:hAnsi="Arial" w:cs="Arial"/>
                <w:color w:val="000000" w:themeColor="text1"/>
                <w:sz w:val="24"/>
                <w:szCs w:val="24"/>
                <w:lang w:eastAsia="es-MX"/>
              </w:rPr>
              <w:t xml:space="preserve">, </w:t>
            </w:r>
            <w:r>
              <w:rPr>
                <w:rFonts w:ascii="Arial" w:eastAsia="Times New Roman" w:hAnsi="Arial" w:cs="Arial"/>
                <w:color w:val="000000" w:themeColor="text1"/>
                <w:sz w:val="24"/>
                <w:szCs w:val="24"/>
                <w:lang w:eastAsia="es-MX"/>
              </w:rPr>
              <w:t xml:space="preserve"> </w:t>
            </w:r>
            <w:r w:rsidRPr="00030B02">
              <w:rPr>
                <w:rFonts w:ascii="Arial" w:eastAsia="Times New Roman" w:hAnsi="Arial" w:cs="Arial"/>
                <w:color w:val="000000" w:themeColor="text1"/>
                <w:sz w:val="24"/>
                <w:szCs w:val="24"/>
                <w:lang w:eastAsia="es-MX"/>
              </w:rPr>
              <w:t xml:space="preserve"> </w:t>
            </w:r>
            <w:r w:rsidR="00981E8C" w:rsidRPr="003B2FC1">
              <w:rPr>
                <w:rFonts w:ascii="Arial" w:hAnsi="Arial" w:cs="Arial"/>
              </w:rPr>
              <w:t>Envejecimiento normal y envejecimiento patológico, así como los factores influyentes en cada uno de estos términos podemos darnos cuenta de que existen factores biológicos, psicológicos y sociales que pueden determinar la presencia de uno u otro tipo de envejecimiento.</w:t>
            </w:r>
          </w:p>
        </w:tc>
        <w:tc>
          <w:tcPr>
            <w:tcW w:w="4961" w:type="dxa"/>
          </w:tcPr>
          <w:p w:rsidR="00C924CE" w:rsidRPr="003B2FC1" w:rsidRDefault="00981E8C" w:rsidP="00B45ACF">
            <w:pPr>
              <w:jc w:val="both"/>
              <w:rPr>
                <w:rFonts w:ascii="Arial" w:hAnsi="Arial" w:cs="Arial"/>
              </w:rPr>
            </w:pPr>
            <w:r w:rsidRPr="003B2FC1">
              <w:rPr>
                <w:rFonts w:ascii="Arial" w:hAnsi="Arial" w:cs="Arial"/>
              </w:rPr>
              <w:t xml:space="preserve">Existe una educación en la tercera edad debe partir de que sea ofrecida a los ancianos para conservar su autosuficiencia, la adaptación social, forma de mantener el vínculo </w:t>
            </w:r>
            <w:r w:rsidR="00E835D6">
              <w:rPr>
                <w:rFonts w:ascii="Arial" w:hAnsi="Arial" w:cs="Arial"/>
              </w:rPr>
              <w:t xml:space="preserve">con el desarrollo social actual, </w:t>
            </w:r>
            <w:r w:rsidR="00E835D6" w:rsidRPr="004F2CE6">
              <w:rPr>
                <w:rFonts w:ascii="Arial" w:eastAsia="Times New Roman" w:hAnsi="Arial" w:cs="Arial"/>
                <w:color w:val="445555"/>
                <w:sz w:val="24"/>
                <w:szCs w:val="24"/>
                <w:lang w:eastAsia="es-MX"/>
              </w:rPr>
              <w:t xml:space="preserve"> </w:t>
            </w:r>
            <w:r w:rsidR="00E835D6" w:rsidRPr="00E835D6">
              <w:rPr>
                <w:rFonts w:ascii="Arial" w:eastAsia="Times New Roman" w:hAnsi="Arial" w:cs="Arial"/>
                <w:color w:val="000000" w:themeColor="text1"/>
                <w:lang w:eastAsia="es-MX"/>
              </w:rPr>
              <w:t>debe sentirse informado, como un hombre de su tiempo sobr</w:t>
            </w:r>
            <w:r w:rsidR="00C538C1">
              <w:rPr>
                <w:rFonts w:ascii="Arial" w:eastAsia="Times New Roman" w:hAnsi="Arial" w:cs="Arial"/>
                <w:color w:val="000000" w:themeColor="text1"/>
                <w:lang w:eastAsia="es-MX"/>
              </w:rPr>
              <w:t xml:space="preserve">e la evolución del mundo actual, </w:t>
            </w:r>
            <w:r w:rsidR="00C538C1" w:rsidRPr="004F2CE6">
              <w:rPr>
                <w:rFonts w:ascii="Arial" w:eastAsia="Times New Roman" w:hAnsi="Arial" w:cs="Arial"/>
                <w:color w:val="445555"/>
                <w:sz w:val="24"/>
                <w:szCs w:val="24"/>
                <w:lang w:eastAsia="es-MX"/>
              </w:rPr>
              <w:t xml:space="preserve"> </w:t>
            </w:r>
            <w:r w:rsidR="00C538C1" w:rsidRPr="00C538C1">
              <w:rPr>
                <w:rFonts w:ascii="Arial" w:eastAsia="Times New Roman" w:hAnsi="Arial" w:cs="Arial"/>
                <w:color w:val="000000" w:themeColor="text1"/>
                <w:lang w:eastAsia="es-MX"/>
              </w:rPr>
              <w:t>La educación en el adulto mayor debe ser una educación para aprender a vivir, este es el tema más importante, el desarrollo de las potencialidades humanas es la tarea principal</w:t>
            </w:r>
          </w:p>
        </w:tc>
      </w:tr>
    </w:tbl>
    <w:p w:rsidR="00C924CE" w:rsidRPr="00981E8C" w:rsidRDefault="00C924CE"/>
    <w:sectPr w:rsidR="00C924CE" w:rsidRPr="00981E8C" w:rsidSect="00B45ACF">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lin Sans FB">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A0657"/>
    <w:multiLevelType w:val="hybridMultilevel"/>
    <w:tmpl w:val="6A9A28C8"/>
    <w:lvl w:ilvl="0" w:tplc="7722EEEC">
      <w:numFmt w:val="bullet"/>
      <w:lvlText w:val="-"/>
      <w:lvlJc w:val="left"/>
      <w:pPr>
        <w:tabs>
          <w:tab w:val="num" w:pos="720"/>
        </w:tabs>
        <w:ind w:left="720" w:hanging="360"/>
      </w:pPr>
      <w:rPr>
        <w:rFonts w:ascii="Berlin Sans FB" w:eastAsia="Times New Roman" w:hAnsi="Berlin Sans FB"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CE"/>
    <w:rsid w:val="00030B02"/>
    <w:rsid w:val="00103B9C"/>
    <w:rsid w:val="00153A0E"/>
    <w:rsid w:val="00246AE5"/>
    <w:rsid w:val="002D361A"/>
    <w:rsid w:val="003B2FC1"/>
    <w:rsid w:val="00426587"/>
    <w:rsid w:val="004A7FD0"/>
    <w:rsid w:val="00721DE3"/>
    <w:rsid w:val="00754EA5"/>
    <w:rsid w:val="0077083E"/>
    <w:rsid w:val="00844B39"/>
    <w:rsid w:val="008A7850"/>
    <w:rsid w:val="0091266B"/>
    <w:rsid w:val="00981E8C"/>
    <w:rsid w:val="00B45ACF"/>
    <w:rsid w:val="00C22C6D"/>
    <w:rsid w:val="00C47A1F"/>
    <w:rsid w:val="00C538C1"/>
    <w:rsid w:val="00C924CE"/>
    <w:rsid w:val="00D55AF2"/>
    <w:rsid w:val="00E5102C"/>
    <w:rsid w:val="00E83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2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2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dc:creator>
  <cp:lastModifiedBy>MARIANA</cp:lastModifiedBy>
  <cp:revision>11</cp:revision>
  <dcterms:created xsi:type="dcterms:W3CDTF">2013-11-08T22:03:00Z</dcterms:created>
  <dcterms:modified xsi:type="dcterms:W3CDTF">2013-11-09T04:48:00Z</dcterms:modified>
</cp:coreProperties>
</file>